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ascii="Inter" w:hAnsi="Inter"/>
          <w:b/>
          <w:b/>
          <w:bCs/>
          <w:i w:val="false"/>
          <w:caps w:val="false"/>
          <w:smallCaps w:val="false"/>
          <w:color w:val="2A6099"/>
          <w:spacing w:val="0"/>
          <w:sz w:val="19"/>
          <w:u w:val="single"/>
        </w:rPr>
      </w:pPr>
      <w:r>
        <w:rPr>
          <w:rFonts w:ascii="Inter" w:hAnsi="Inter"/>
          <w:b/>
          <w:bCs/>
          <w:i w:val="false"/>
          <w:caps w:val="false"/>
          <w:smallCaps w:val="false"/>
          <w:color w:val="2A6099"/>
          <w:spacing w:val="0"/>
          <w:sz w:val="19"/>
          <w:u w:val="single"/>
        </w:rPr>
        <w:t>Consulta de Medicina de Precisión: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/>
          <w:b/>
          <w:bCs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/>
          <w:bCs/>
          <w:i w:val="false"/>
          <w:caps w:val="false"/>
          <w:smallCaps w:val="false"/>
          <w:color w:val="2A6099"/>
          <w:spacing w:val="0"/>
          <w:sz w:val="19"/>
        </w:rPr>
        <w:t>I. Medicina de Precisión General (para patologías crónicas)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A. Evaluación Inicial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Historia clínica detallada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Examen físico completo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B. Pruebas Diagnósticas</w:t>
      </w:r>
    </w:p>
    <w:p>
      <w:pPr>
        <w:pStyle w:val="TextBody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Farmacogenómica a. Análisis de variantes genéticas relacionadas con metabolismo de fármacos</w:t>
      </w:r>
    </w:p>
    <w:p>
      <w:pPr>
        <w:pStyle w:val="TextBody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Clínica Genética a. Evaluación de antecedentes familiares b. Identificación de riesgos genéticos</w:t>
      </w:r>
    </w:p>
    <w:p>
      <w:pPr>
        <w:pStyle w:val="TextBody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Epigenética a. Análisis de marcadores epigenéticos b. Evaluación de influencias ambientales en la expresión génica</w:t>
      </w:r>
    </w:p>
    <w:p>
      <w:pPr>
        <w:pStyle w:val="TextBody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Aging (Envejecimiento) a. Medición de longitud de telómeros b. Evaluación de estrés oxidativo c. Análisis de otros biomarcadores de envejecimiento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C. Estudio de la Inflamación</w:t>
      </w:r>
    </w:p>
    <w:p>
      <w:pPr>
        <w:pStyle w:val="TextBody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Marcadores inflamatorios sistémicos (PCR, VSG, IL-6)</w:t>
      </w:r>
    </w:p>
    <w:p>
      <w:pPr>
        <w:pStyle w:val="TextBody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Evaluación de inflamación crónica de bajo grado</w:t>
      </w:r>
    </w:p>
    <w:p>
      <w:pPr>
        <w:pStyle w:val="TextBody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Análisis de citoquinas pro-inflamatorias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D. Plan de Tratamiento Personalizado</w:t>
      </w:r>
    </w:p>
    <w:p>
      <w:pPr>
        <w:pStyle w:val="TextBody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Ajuste de medicaciones basado en perfil farmacogenómico</w:t>
      </w:r>
    </w:p>
    <w:p>
      <w:pPr>
        <w:pStyle w:val="TextBody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Intervenciones basadas en riesgos genéticos identificados</w:t>
      </w:r>
    </w:p>
    <w:p>
      <w:pPr>
        <w:pStyle w:val="TextBody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Recomendaciones de estilo de vida</w:t>
      </w:r>
    </w:p>
    <w:p>
      <w:pPr>
        <w:pStyle w:val="TextBody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Estrategias anti-envejecimiento</w:t>
      </w:r>
    </w:p>
    <w:p>
      <w:pPr>
        <w:pStyle w:val="TextBody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Manejo de la inflamación crónica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/>
          <w:b/>
          <w:bCs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/>
          <w:bCs/>
          <w:i w:val="false"/>
          <w:caps w:val="false"/>
          <w:smallCaps w:val="false"/>
          <w:color w:val="2A6099"/>
          <w:spacing w:val="0"/>
          <w:sz w:val="19"/>
        </w:rPr>
        <w:t>II. Infecciones Virales Crónicas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A. Evaluación Específica</w:t>
      </w:r>
    </w:p>
    <w:p>
      <w:pPr>
        <w:pStyle w:val="TextBody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Historia clínica enfocada en exposiciones y factores de riesgo</w:t>
      </w:r>
    </w:p>
    <w:p>
      <w:pPr>
        <w:pStyle w:val="TextBody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Examen físico dirigido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B. Pruebas Diagnósticas</w:t>
      </w:r>
    </w:p>
    <w:p>
      <w:pPr>
        <w:pStyle w:val="TextBody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Pruebas serológicas para VIH, Hepatitis B, Hepatitis C</w:t>
      </w:r>
    </w:p>
    <w:p>
      <w:pPr>
        <w:pStyle w:val="TextBody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PCR para detección y cuantificación viral</w:t>
      </w:r>
    </w:p>
    <w:p>
      <w:pPr>
        <w:pStyle w:val="TextBody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Genotipificación viral (cuando sea aplicable)</w:t>
      </w:r>
    </w:p>
    <w:p>
      <w:pPr>
        <w:pStyle w:val="TextBody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Evaluación de resistencia a antivirales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C. Estudio Inmunológico</w:t>
      </w:r>
    </w:p>
    <w:p>
      <w:pPr>
        <w:pStyle w:val="TextBody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Conteo de CD4+ (para VIH)</w:t>
      </w:r>
    </w:p>
    <w:p>
      <w:pPr>
        <w:pStyle w:val="TextBody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Evaluación de la función inmune general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D. Estudio de Comorbilidades</w:t>
      </w:r>
    </w:p>
    <w:p>
      <w:pPr>
        <w:pStyle w:val="TextBody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Evaluación de daño hepático (para hepatitis)</w:t>
      </w:r>
    </w:p>
    <w:p>
      <w:pPr>
        <w:pStyle w:val="TextBody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Screening de complicaciones asociadas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E. Plan de Tratamiento Específico</w:t>
      </w:r>
    </w:p>
    <w:p>
      <w:pPr>
        <w:pStyle w:val="TextBody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pacing w:before="0" w:after="120"/>
        <w:ind w:left="0" w:righ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Terapia antiviral personalizada basada en genotipo y resistencias</w:t>
      </w:r>
    </w:p>
    <w:p>
      <w:pPr>
        <w:pStyle w:val="TextBody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Manejo de efectos secundarios y toxicidades</w:t>
      </w:r>
    </w:p>
    <w:p>
      <w:pPr>
        <w:pStyle w:val="TextBody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pacing w:before="0" w:after="120"/>
        <w:ind w:left="0" w:hanging="0"/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;apple-system;BlinkMacSystemFont;Segoe UI;Roboto;Oxygen;Ubuntu;Cantarell;Fira Sans;Droid Sans;Helvetica Neue;sans-serif" w:hAnsi="Inter;apple-system;BlinkMacSystemFont;Segoe UI;Roboto;Oxygen;Ubuntu;Cantarell;Fira Sans;Droid Sans;Helvetica Neue;sans-serif"/>
          <w:b w:val="false"/>
          <w:i w:val="false"/>
          <w:caps w:val="false"/>
          <w:smallCaps w:val="false"/>
          <w:color w:val="2A6099"/>
          <w:spacing w:val="0"/>
          <w:sz w:val="19"/>
        </w:rPr>
        <w:t>Prevención y tratamiento de complicaciones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III. Integración y Seguimiento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A. Interpretación holística de resultados B. Plan de tratamiento integrado considerando patología crónica e infección viral C. Monitoreo regular de carga viral, marcadores inflamatorios y progresión de enfermedad D. Ajustes periódicos del plan terapéutico E. Educación del paciente y apoyo psicosocial</w:t>
      </w:r>
    </w:p>
    <w:p>
      <w:pPr>
        <w:pStyle w:val="TextBody"/>
        <w:widowControl/>
        <w:pBdr/>
        <w:spacing w:lineRule="auto" w:line="444" w:before="0" w:after="0"/>
        <w:ind w:left="0" w:right="0" w:hanging="0"/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</w:pPr>
      <w:r>
        <w:rPr>
          <w:rFonts w:ascii="Inter" w:hAnsi="Inter"/>
          <w:b w:val="false"/>
          <w:i w:val="false"/>
          <w:caps w:val="false"/>
          <w:smallCaps w:val="false"/>
          <w:color w:val="2A6099"/>
          <w:spacing w:val="0"/>
          <w:sz w:val="19"/>
        </w:rPr>
        <w:t>Este esquema divide la consulta en aspectos generales de medicina de precisión y manejo específico de infecciones virales crónicas, incluyendo el estudio de la inflamación en ambos contextos.</w:t>
      </w:r>
    </w:p>
    <w:p>
      <w:pPr>
        <w:pStyle w:val="Normal"/>
        <w:rPr>
          <w:color w:val="2A6099"/>
        </w:rPr>
      </w:pPr>
      <w:r>
        <w:rPr>
          <w:color w:val="2A6099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ter">
    <w:charset w:val="00"/>
    <w:family w:val="auto"/>
    <w:pitch w:val="default"/>
  </w:font>
  <w:font w:name="Inter">
    <w:altName w:val="apple-system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Internet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otnoteTextChar">
    <w:name w:val="Footnote Text Char"/>
    <w:link w:val="Footnote"/>
    <w:uiPriority w:val="99"/>
    <w:semiHidden/>
    <w:unhideWhenUsed/>
    <w:qFormat/>
    <w:rPr>
      <w:sz w:val="20"/>
      <w:szCs w:val="20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en-US" w:eastAsia="zh-CN" w:bidi="hi-IN"/>
    </w:rPr>
  </w:style>
  <w:style w:type="paragraph" w:styleId="Foot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LibreOffice/7.3.7.2$Windows_X86_64 LibreOffice_project/e114eadc50a9ff8d8c8a0567d6da8f454beeb84f</Application>
  <AppVersion>15.0000</AppVersion>
  <Pages>2</Pages>
  <Words>333</Words>
  <Characters>2076</Characters>
  <CharactersWithSpaces>2340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2024-11-24T10:31:14Z</dcterms:created>
  <dc:creator>Un-named</dc:creator>
  <dc:description/>
  <dc:language>en-US</dc:language>
  <cp:lastModifiedBy/>
  <dcterms:modified xsi:type="dcterms:W3CDTF">2024-11-24T11:34:30Z</dcterms:modified>
  <cp:revision>3</cp:revision>
  <dc:subject/>
  <dc:title/>
</cp:coreProperties>
</file>